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9F" w:rsidRDefault="0073679F" w:rsidP="0073679F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</wp:posOffset>
            </wp:positionV>
            <wp:extent cx="2802890" cy="2133600"/>
            <wp:effectExtent l="19050" t="0" r="0" b="0"/>
            <wp:wrapTight wrapText="bothSides">
              <wp:wrapPolygon edited="0">
                <wp:start x="-147" y="0"/>
                <wp:lineTo x="-147" y="21407"/>
                <wp:lineTo x="21580" y="21407"/>
                <wp:lineTo x="21580" y="0"/>
                <wp:lineTo x="-147" y="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Родителям о музыкальном развитии</w:t>
      </w:r>
    </w:p>
    <w:p w:rsidR="0073679F" w:rsidRDefault="0073679F" w:rsidP="0073679F">
      <w:pPr>
        <w:tabs>
          <w:tab w:val="left" w:pos="0"/>
        </w:tabs>
        <w:ind w:left="-426"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детей среднего дошкольного возраста.</w:t>
      </w:r>
    </w:p>
    <w:p w:rsidR="0073679F" w:rsidRDefault="0073679F" w:rsidP="007367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Подготовила муз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</w:rPr>
        <w:t>ук: Кондратьева Е.Н.</w:t>
      </w:r>
    </w:p>
    <w:p w:rsidR="0073679F" w:rsidRDefault="0073679F" w:rsidP="0073679F">
      <w:pPr>
        <w:pStyle w:val="1"/>
        <w:tabs>
          <w:tab w:val="left" w:pos="10348"/>
        </w:tabs>
        <w:spacing w:line="192" w:lineRule="auto"/>
        <w:ind w:right="142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73679F" w:rsidRDefault="0073679F" w:rsidP="0073679F">
      <w:pPr>
        <w:tabs>
          <w:tab w:val="left" w:pos="0"/>
        </w:tabs>
        <w:ind w:left="-426"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73679F" w:rsidRDefault="0073679F" w:rsidP="0073679F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среднего дошкольного возраста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</w:t>
      </w:r>
    </w:p>
    <w:p w:rsidR="0073679F" w:rsidRDefault="0073679F" w:rsidP="0073679F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Ребенок этого возраста наблюдателен, он уже способен определить,  какая исполняется музыка: веселая, радостная, спокойная; звуки высокие, низкие, громкие, тихие; на каком инструменте играют  (рояль, скрипка, баян).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Ему понятны требования, как надо спеть песню, как двигаться в пляске. Он понимает, что колыбельную надо петь тихо, не спеша.</w:t>
      </w:r>
    </w:p>
    <w:p w:rsidR="0073679F" w:rsidRDefault="0073679F" w:rsidP="0073679F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Голосовой аппарат ребенка среднего дошкольного возраста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</w:t>
      </w:r>
    </w:p>
    <w:p w:rsidR="0073679F" w:rsidRDefault="0073679F" w:rsidP="0073679F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73679F" w:rsidRDefault="0073679F" w:rsidP="0073679F"/>
    <w:p w:rsidR="00526244" w:rsidRDefault="00526244" w:rsidP="007766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776621" w:rsidRPr="00526244" w:rsidRDefault="00526244" w:rsidP="0077662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="00776621" w:rsidRPr="00526244">
        <w:rPr>
          <w:b/>
          <w:sz w:val="36"/>
          <w:szCs w:val="36"/>
        </w:rPr>
        <w:t>Рекомендации  родителям по слушанию музыки.</w:t>
      </w:r>
    </w:p>
    <w:p w:rsidR="00776621" w:rsidRPr="00526244" w:rsidRDefault="00526244" w:rsidP="00776621">
      <w:pPr>
        <w:rPr>
          <w:b/>
          <w:i/>
          <w:sz w:val="28"/>
          <w:szCs w:val="28"/>
        </w:rPr>
      </w:pPr>
      <w:r w:rsidRPr="00526244">
        <w:rPr>
          <w:b/>
          <w:i/>
          <w:sz w:val="28"/>
          <w:szCs w:val="28"/>
        </w:rPr>
        <w:t>Автор: Кондратьева Е.Н.</w:t>
      </w:r>
      <w:r w:rsidR="00776621" w:rsidRPr="00526244">
        <w:rPr>
          <w:b/>
          <w:i/>
          <w:sz w:val="28"/>
          <w:szCs w:val="28"/>
        </w:rPr>
        <w:t>, музыкальный  руководитель МБ</w:t>
      </w:r>
      <w:r w:rsidRPr="00526244">
        <w:rPr>
          <w:b/>
          <w:i/>
          <w:sz w:val="28"/>
          <w:szCs w:val="28"/>
        </w:rPr>
        <w:t>ДОУ « Детский сад №1 «Звёздочка»</w:t>
      </w:r>
    </w:p>
    <w:p w:rsidR="00776621" w:rsidRDefault="00776621" w:rsidP="00776621"/>
    <w:p w:rsidR="00776621" w:rsidRPr="00526244" w:rsidRDefault="00776621" w:rsidP="00776621">
      <w:pPr>
        <w:rPr>
          <w:b/>
          <w:sz w:val="28"/>
          <w:szCs w:val="28"/>
        </w:rPr>
      </w:pPr>
      <w:r w:rsidRPr="00526244">
        <w:rPr>
          <w:b/>
          <w:sz w:val="28"/>
          <w:szCs w:val="28"/>
        </w:rPr>
        <w:t>Старшая группа(5-6лет)</w:t>
      </w:r>
    </w:p>
    <w:p w:rsidR="00776621" w:rsidRDefault="00776621" w:rsidP="00776621"/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>В настоящее время дошкольному развитию детей уделяется очень большое внимание. Сколько всевозможных кружков и секций, студий и развивающих занятий! И все они призваны реализовать основную задачу - как можно лучше подготовить малыша к школе. Внимание педагогов и родителей в основном направлено на развитие интеллекта и речи ребенка, умению "быть своим" среди сверстников.</w:t>
      </w: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>Подчас, дети видятся для родителей некими сундучками, которые нужно успеть, как можно больше заполнить до школы, что бы в первом классе у ребенка не было никаких трудностей. В погоне за такими знаниями, теряется значимость развития чувственной культуры наших детей. Мы разучились слышать и слушать классическую и народную музыку, музыку в "живом исполнении", обращать внимание на способность сопереживать. И даже большинство современных мультипликационных фильмов, телевизионных и радиопрограмм для детской аудитории не ставят задачу эстетическо-нравственного воспитания, как одну из приоритетных. Музыкальное сопровождение зачастую представлено в компьютерной обработке. Музыка перестала пополнять духовную копилку малыша такими переживаниями как сочувствие, радость, грусть. Поэтому, если мы хотим, действительно, всесторонне развить ребенка, то давайте обращать наше внимание и на чувственную культуру малыша. Если ребенок научился слышать музыкальные оттенки, эмоционально откликаться на услышанное произведение, сопереживать, то он никогда не вырастет черствым и равнодушным человеком. А значит, и наши усилия будут не напрасны.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 xml:space="preserve"> 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lastRenderedPageBreak/>
        <w:t>Культура чувств - это способность ребенка осознавать, переживать и управлять своими желаниями и потребностями в соответствии с мнением и желаниями окружающих - семьи, педагогов, друзей и просто окружающих.</w:t>
      </w:r>
    </w:p>
    <w:p w:rsidR="00526244" w:rsidRDefault="00526244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>Чем больше у ребенка опыт осознаваемых пережи</w:t>
      </w:r>
      <w:r w:rsidR="00526244">
        <w:rPr>
          <w:sz w:val="28"/>
          <w:szCs w:val="28"/>
        </w:rPr>
        <w:t xml:space="preserve">ваний, тем больше возможностей у него к </w:t>
      </w:r>
      <w:r w:rsidRPr="00526244">
        <w:rPr>
          <w:sz w:val="28"/>
          <w:szCs w:val="28"/>
        </w:rPr>
        <w:t xml:space="preserve"> восприятию и пониманию чужих эмоций и чувств.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>На музыкальных занятиях в детском саду мы стремимся воспитывать у ребенка эмоциональную выразительность, отзывчивость, развивать способность понимать язык интонаций: речевых, природных и собственно музыкальных. Так музыкальное воспитание постепенно становится средством прочтения этих эмоций.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>Сопереживание невозможно без индивидуального опыта переживаний, осознания и узнавания своих эмоций и чувств. Только свой собственный багаж чувственного опыта поможет ребенку сформировать в себе опыт понимания другого человека. Именно насыщение чувственно-эмоционального опыта является одной из главных целей музыкальных занятий, реализуемых в следующих видах деятельности: слушание, исполнение и сочинение.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 xml:space="preserve"> В подготовительной к школе группе(6-7лет) на музыкальных занятиях продолжается работа по формированию певческого глосса, обогащению эмоциональных впечатлений детей при восприятии музыки разного характера, развитию навыков движений под музыку. </w:t>
      </w:r>
      <w:proofErr w:type="gramStart"/>
      <w:r w:rsidRPr="00526244">
        <w:rPr>
          <w:sz w:val="28"/>
          <w:szCs w:val="28"/>
        </w:rPr>
        <w:t>Дети учатся  игре  на детских  музыкальных инструментах (металлофон, трещотка,  погремушка,  треугольник, колокольчик и др.), знакомятся с  элементарными   музыкальными понятиями (динамика,  длительность, темп, ритм, жанр и т.д.)</w:t>
      </w:r>
      <w:proofErr w:type="gramEnd"/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 xml:space="preserve"> 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b/>
          <w:i/>
          <w:sz w:val="28"/>
          <w:szCs w:val="28"/>
        </w:rPr>
      </w:pPr>
      <w:r w:rsidRPr="00526244">
        <w:rPr>
          <w:sz w:val="28"/>
          <w:szCs w:val="28"/>
        </w:rPr>
        <w:t>Наше с Вами взаимодействие, уважаемые родители, предполагает единство требований</w:t>
      </w:r>
      <w:r w:rsidRPr="00526244">
        <w:rPr>
          <w:b/>
          <w:i/>
          <w:sz w:val="28"/>
          <w:szCs w:val="28"/>
        </w:rPr>
        <w:t>. В своей работе мы руководствуемся Программой воспитания и обучения в детском саду под редакцией М.В. Васильевой, исходя из этого, мы рекомендуем Вам к слушанию музыкальные произведения подобранные авторами Программы</w:t>
      </w:r>
      <w:proofErr w:type="gramStart"/>
      <w:r w:rsidRPr="00526244">
        <w:rPr>
          <w:b/>
          <w:i/>
          <w:sz w:val="28"/>
          <w:szCs w:val="28"/>
        </w:rPr>
        <w:t xml:space="preserve"> :</w:t>
      </w:r>
      <w:proofErr w:type="gramEnd"/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М. Глинка "Детская полька";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П. Чайковский "Болезнь куклы", "Новая кукла", "Песня жаворонка";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Н. Римский-Корсаков "Море", "Белка", "Пляска птиц";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С. Рахманинов "Итальянская полька";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А. Хачатурян "Танец с саблями";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 xml:space="preserve">Ю. </w:t>
      </w:r>
      <w:proofErr w:type="spellStart"/>
      <w:r w:rsidRPr="00526244">
        <w:rPr>
          <w:i/>
          <w:sz w:val="28"/>
          <w:szCs w:val="28"/>
        </w:rPr>
        <w:t>Чичков</w:t>
      </w:r>
      <w:proofErr w:type="spellEnd"/>
      <w:r w:rsidRPr="00526244">
        <w:rPr>
          <w:i/>
          <w:sz w:val="28"/>
          <w:szCs w:val="28"/>
        </w:rPr>
        <w:t xml:space="preserve"> "Ромашковая Русь";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В. Моцарт "Колыбельная";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 xml:space="preserve">А. </w:t>
      </w:r>
      <w:proofErr w:type="spellStart"/>
      <w:r w:rsidRPr="00526244">
        <w:rPr>
          <w:i/>
          <w:sz w:val="28"/>
          <w:szCs w:val="28"/>
        </w:rPr>
        <w:t>Вивальди</w:t>
      </w:r>
      <w:proofErr w:type="spellEnd"/>
      <w:r w:rsidRPr="00526244">
        <w:rPr>
          <w:i/>
          <w:sz w:val="28"/>
          <w:szCs w:val="28"/>
        </w:rPr>
        <w:t xml:space="preserve"> цикл "Времена года";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 xml:space="preserve">Ф. Лист "Кампанелла"; </w:t>
      </w:r>
    </w:p>
    <w:p w:rsidR="00776621" w:rsidRPr="00526244" w:rsidRDefault="00776621" w:rsidP="00776621">
      <w:pPr>
        <w:rPr>
          <w:i/>
          <w:sz w:val="28"/>
          <w:szCs w:val="28"/>
        </w:rPr>
      </w:pPr>
    </w:p>
    <w:p w:rsidR="00776621" w:rsidRPr="00526244" w:rsidRDefault="00776621" w:rsidP="00776621">
      <w:pPr>
        <w:rPr>
          <w:i/>
          <w:sz w:val="28"/>
          <w:szCs w:val="28"/>
        </w:rPr>
      </w:pPr>
      <w:r w:rsidRPr="00526244">
        <w:rPr>
          <w:i/>
          <w:sz w:val="28"/>
          <w:szCs w:val="28"/>
        </w:rPr>
        <w:t>И. Бах Органная токката ре-минор и др.</w:t>
      </w:r>
    </w:p>
    <w:p w:rsidR="00776621" w:rsidRPr="00526244" w:rsidRDefault="00776621" w:rsidP="00776621">
      <w:pPr>
        <w:rPr>
          <w:sz w:val="28"/>
          <w:szCs w:val="28"/>
        </w:rPr>
      </w:pPr>
    </w:p>
    <w:p w:rsidR="00776621" w:rsidRPr="00526244" w:rsidRDefault="00776621" w:rsidP="00776621">
      <w:pPr>
        <w:rPr>
          <w:sz w:val="28"/>
          <w:szCs w:val="28"/>
        </w:rPr>
      </w:pPr>
      <w:r w:rsidRPr="00526244">
        <w:rPr>
          <w:sz w:val="28"/>
          <w:szCs w:val="28"/>
        </w:rPr>
        <w:t xml:space="preserve"> Необходимо отметить, что у каждого человека и ребенка в частности система восприятия неречевой информации различна и напрямую зависит от того, что человек видит, слышит, ощущает в данный момент. Это является важным фактором, т.к. позволяет нам смоделировать на музыкальных занятиях в детском саду и в домашнем кругу различные сочетания подобных ощущений (в том числе вкусовых и обонятельных), способствующих наиболее яркому восприятию и проявлению эмоций. В тоже время, необходимо помнить, что слушание классической музыки ограничивается во времени, т.к. ребенку должно быть интересно. И если малыш хочет слушать музыку "лёгкого жанра" не отказывайте ему в этом. Детские песенки из советских мультфильмов подойдут как нельзя лучше. Включите "Детское радио" и пойте вместе. "И хорошее настроение не покинет больше Вас"!</w:t>
      </w:r>
    </w:p>
    <w:p w:rsidR="00776621" w:rsidRPr="00526244" w:rsidRDefault="00776621" w:rsidP="00776621">
      <w:pPr>
        <w:rPr>
          <w:sz w:val="28"/>
          <w:szCs w:val="28"/>
        </w:rPr>
      </w:pPr>
    </w:p>
    <w:p w:rsidR="008008AD" w:rsidRDefault="00776621" w:rsidP="00776621">
      <w:r w:rsidRPr="00526244">
        <w:rPr>
          <w:sz w:val="28"/>
          <w:szCs w:val="28"/>
        </w:rPr>
        <w:t>Желаем успех</w:t>
      </w:r>
      <w:r w:rsidR="00526244">
        <w:rPr>
          <w:sz w:val="28"/>
          <w:szCs w:val="28"/>
        </w:rPr>
        <w:t>а</w:t>
      </w:r>
      <w:r>
        <w:t>!</w:t>
      </w:r>
    </w:p>
    <w:sectPr w:rsidR="008008AD" w:rsidSect="0080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621"/>
    <w:rsid w:val="00043E84"/>
    <w:rsid w:val="00526244"/>
    <w:rsid w:val="0073679F"/>
    <w:rsid w:val="00776621"/>
    <w:rsid w:val="008008AD"/>
    <w:rsid w:val="00BA26A5"/>
    <w:rsid w:val="00CD423F"/>
    <w:rsid w:val="00F1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26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A26A5"/>
    <w:rPr>
      <w:rFonts w:eastAsiaTheme="minorEastAsia"/>
    </w:rPr>
  </w:style>
  <w:style w:type="paragraph" w:customStyle="1" w:styleId="1">
    <w:name w:val="Без интервала1"/>
    <w:rsid w:val="007367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2014-03-30T13:56:00Z</dcterms:created>
  <dcterms:modified xsi:type="dcterms:W3CDTF">2020-10-01T09:07:00Z</dcterms:modified>
</cp:coreProperties>
</file>